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148E4" w:rsidRPr="00B148E4">
        <w:rPr>
          <w:b/>
          <w:i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</w:t>
      </w:r>
      <w:r w:rsidR="00B148E4">
        <w:rPr>
          <w:b/>
          <w:i/>
        </w:rPr>
        <w:t>ий группы компаний ООО «ОДС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  <w:r w:rsidR="00153DDB">
        <w:rPr>
          <w:rStyle w:val="blk"/>
          <w:b/>
          <w:color w:val="000000"/>
        </w:rPr>
        <w:t>:</w:t>
      </w:r>
    </w:p>
    <w:p w:rsidR="00153DDB" w:rsidRPr="00563D7C" w:rsidRDefault="00F51613" w:rsidP="00F51613">
      <w:pPr>
        <w:pStyle w:val="af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153DDB" w:rsidRPr="00563D7C">
        <w:rPr>
          <w:rFonts w:ascii="Times New Roman" w:hAnsi="Times New Roman" w:cs="Times New Roman"/>
          <w:b/>
        </w:rPr>
        <w:t>Прейскурант на оказание медицинских услуг</w:t>
      </w:r>
      <w:r>
        <w:rPr>
          <w:rFonts w:ascii="Times New Roman" w:hAnsi="Times New Roman" w:cs="Times New Roman"/>
          <w:b/>
        </w:rPr>
        <w:t xml:space="preserve"> и </w:t>
      </w:r>
      <w:r w:rsidR="00153DDB" w:rsidRPr="00563D7C">
        <w:rPr>
          <w:rFonts w:ascii="Times New Roman" w:hAnsi="Times New Roman" w:cs="Times New Roman"/>
          <w:b/>
        </w:rPr>
        <w:t>по проведению предварительных медицинских осмотров</w:t>
      </w:r>
    </w:p>
    <w:p w:rsidR="00153DDB" w:rsidRPr="00563D7C" w:rsidRDefault="00153DDB" w:rsidP="00153DDB">
      <w:pPr>
        <w:pStyle w:val="af6"/>
        <w:jc w:val="center"/>
        <w:rPr>
          <w:rFonts w:ascii="Times New Roman" w:hAnsi="Times New Roman" w:cs="Times New Roman"/>
          <w:b/>
        </w:rPr>
      </w:pPr>
    </w:p>
    <w:tbl>
      <w:tblPr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1"/>
        <w:gridCol w:w="1701"/>
        <w:gridCol w:w="2005"/>
        <w:gridCol w:w="1823"/>
      </w:tblGrid>
      <w:tr w:rsidR="00892027" w:rsidRPr="00563D7C" w:rsidTr="00153DDB">
        <w:trPr>
          <w:trHeight w:hRule="exact" w:val="10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27" w:rsidRPr="00563D7C" w:rsidRDefault="00892027" w:rsidP="00892027">
            <w:pPr>
              <w:rPr>
                <w:b/>
                <w:bCs/>
              </w:rPr>
            </w:pPr>
            <w:r w:rsidRPr="00563D7C">
              <w:rPr>
                <w:b/>
                <w:bCs/>
              </w:rPr>
              <w:t>№ п/п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27" w:rsidRPr="00563D7C" w:rsidRDefault="00892027" w:rsidP="00892027">
            <w:pPr>
              <w:rPr>
                <w:b/>
              </w:rPr>
            </w:pPr>
            <w:r w:rsidRPr="00563D7C">
              <w:rPr>
                <w:b/>
              </w:rPr>
              <w:t>Наименование медицинских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  <w:r w:rsidRPr="009847D0">
              <w:rPr>
                <w:b/>
                <w:sz w:val="22"/>
                <w:szCs w:val="22"/>
              </w:rPr>
              <w:t>Цена, без учета НДС, руб.</w:t>
            </w:r>
          </w:p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</w:p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  <w:r w:rsidRPr="009847D0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  <w:r w:rsidRPr="009847D0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153DDB" w:rsidRPr="00563D7C" w:rsidTr="00153DDB">
        <w:trPr>
          <w:trHeight w:hRule="exact" w:val="71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1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>Предварительный медицинский осмотр мужчины в возрасте до 40 лет включительно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581145" w:rsidRPr="00563D7C" w:rsidTr="00BF406E">
        <w:trPr>
          <w:trHeight w:hRule="exact" w:val="54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45" w:rsidRPr="00563D7C" w:rsidRDefault="00581145" w:rsidP="00A93776">
            <w:r w:rsidRPr="00563D7C">
              <w:t>2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145" w:rsidRPr="00563D7C" w:rsidRDefault="00581145" w:rsidP="00A93776">
            <w:pPr>
              <w:ind w:left="23"/>
            </w:pPr>
            <w:r w:rsidRPr="00563D7C">
              <w:t xml:space="preserve">Предварительный медицинский осмотр мужчины в возрасте старше 40 лет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1145" w:rsidRPr="00563D7C" w:rsidRDefault="00581145" w:rsidP="00A93776"/>
        </w:tc>
        <w:tc>
          <w:tcPr>
            <w:tcW w:w="20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145" w:rsidRPr="00563D7C" w:rsidRDefault="00581145" w:rsidP="00A93776"/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145" w:rsidRPr="00563D7C" w:rsidRDefault="00581145" w:rsidP="00A93776"/>
        </w:tc>
      </w:tr>
      <w:tr w:rsidR="00581145" w:rsidRPr="00563D7C" w:rsidTr="00BF406E">
        <w:trPr>
          <w:trHeight w:hRule="exact" w:val="5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145" w:rsidRPr="00563D7C" w:rsidRDefault="00581145" w:rsidP="00A93776"/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145" w:rsidRPr="00563D7C" w:rsidRDefault="00581145" w:rsidP="00A93776">
            <w:pPr>
              <w:ind w:left="23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145" w:rsidRPr="00563D7C" w:rsidRDefault="00581145" w:rsidP="00A93776"/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1145" w:rsidRPr="00563D7C" w:rsidRDefault="00581145" w:rsidP="00A93776"/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45" w:rsidRPr="00563D7C" w:rsidRDefault="00581145" w:rsidP="00A93776"/>
        </w:tc>
      </w:tr>
      <w:tr w:rsidR="00153DDB" w:rsidRPr="00563D7C" w:rsidTr="00153DDB">
        <w:trPr>
          <w:trHeight w:hRule="exact" w:val="54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3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>Предварительный медицинский осмотр женщины в  возрасте до 40 лет включительно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153DDB" w:rsidRPr="00563D7C" w:rsidTr="00153DDB">
        <w:trPr>
          <w:trHeight w:hRule="exact" w:val="54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>Предварительный медицинский осмотр женщины в возрасте старше 40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153DDB" w:rsidRPr="00563D7C" w:rsidTr="00153DDB">
        <w:trPr>
          <w:trHeight w:hRule="exact" w:val="54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5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 xml:space="preserve">Флюорография легких в двух проекциях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153DDB" w:rsidRPr="00563D7C" w:rsidTr="00153DDB">
        <w:trPr>
          <w:trHeight w:hRule="exact" w:val="54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6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>Маммография обеих молочных желез в 2-х проекциях у 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153DDB" w:rsidRPr="00563D7C" w:rsidTr="00153DDB">
        <w:trPr>
          <w:trHeight w:hRule="exact" w:val="54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7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>Рентгенография длинных трубчатых костей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153DDB" w:rsidRPr="00563D7C" w:rsidTr="00153DDB">
        <w:trPr>
          <w:trHeight w:hRule="exact" w:val="54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DDB" w:rsidRPr="00563D7C" w:rsidRDefault="00153DDB" w:rsidP="00A93776">
            <w:r w:rsidRPr="00563D7C">
              <w:t>8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DB" w:rsidRPr="00563D7C" w:rsidRDefault="00153DDB" w:rsidP="00A93776">
            <w:pPr>
              <w:ind w:left="23"/>
            </w:pPr>
            <w:r w:rsidRPr="00563D7C">
              <w:t>Электроэнцефалография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DB" w:rsidRPr="00563D7C" w:rsidRDefault="00153DDB" w:rsidP="00A93776"/>
        </w:tc>
      </w:tr>
      <w:tr w:rsidR="006819F7" w:rsidRPr="00563D7C" w:rsidTr="003D088E">
        <w:trPr>
          <w:trHeight w:hRule="exact" w:val="544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9F7" w:rsidRPr="006819F7" w:rsidRDefault="006819F7" w:rsidP="002454DE">
            <w:pPr>
              <w:ind w:left="23"/>
              <w:jc w:val="center"/>
              <w:rPr>
                <w:b/>
              </w:rPr>
            </w:pPr>
            <w:r w:rsidRPr="006819F7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9F7" w:rsidRPr="00563D7C" w:rsidRDefault="006819F7" w:rsidP="00A93776"/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9F7" w:rsidRPr="00563D7C" w:rsidRDefault="006819F7" w:rsidP="00A93776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F7" w:rsidRPr="00563D7C" w:rsidRDefault="006819F7" w:rsidP="00A93776"/>
        </w:tc>
      </w:tr>
    </w:tbl>
    <w:p w:rsidR="00153DDB" w:rsidRDefault="00153DDB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6D6BF9" w:rsidRDefault="006D6BF9" w:rsidP="005C169C">
      <w:pPr>
        <w:tabs>
          <w:tab w:val="left" w:pos="360"/>
        </w:tabs>
        <w:jc w:val="both"/>
      </w:pPr>
    </w:p>
    <w:p w:rsidR="006819F7" w:rsidRPr="00563D7C" w:rsidRDefault="006819F7" w:rsidP="006819F7">
      <w:pPr>
        <w:pStyle w:val="af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563D7C">
        <w:rPr>
          <w:rFonts w:ascii="Times New Roman" w:hAnsi="Times New Roman" w:cs="Times New Roman"/>
          <w:b/>
        </w:rPr>
        <w:t>Прейскурант на оказание медицинских услуг</w:t>
      </w:r>
      <w:r>
        <w:rPr>
          <w:rFonts w:ascii="Times New Roman" w:hAnsi="Times New Roman" w:cs="Times New Roman"/>
          <w:b/>
        </w:rPr>
        <w:t xml:space="preserve">    </w:t>
      </w:r>
      <w:r w:rsidRPr="00563D7C">
        <w:rPr>
          <w:rFonts w:ascii="Times New Roman" w:hAnsi="Times New Roman" w:cs="Times New Roman"/>
          <w:b/>
        </w:rPr>
        <w:t>по проведению п</w:t>
      </w:r>
      <w:r>
        <w:rPr>
          <w:rFonts w:ascii="Times New Roman" w:hAnsi="Times New Roman" w:cs="Times New Roman"/>
          <w:b/>
        </w:rPr>
        <w:t>ериодических</w:t>
      </w:r>
      <w:r w:rsidRPr="00563D7C">
        <w:rPr>
          <w:rFonts w:ascii="Times New Roman" w:hAnsi="Times New Roman" w:cs="Times New Roman"/>
          <w:b/>
        </w:rPr>
        <w:t xml:space="preserve"> медицинских осмотров</w:t>
      </w:r>
    </w:p>
    <w:p w:rsidR="00B5564F" w:rsidRDefault="00B5564F" w:rsidP="005C169C">
      <w:pPr>
        <w:tabs>
          <w:tab w:val="left" w:pos="360"/>
        </w:tabs>
        <w:jc w:val="both"/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134"/>
        <w:gridCol w:w="1134"/>
        <w:gridCol w:w="1843"/>
        <w:gridCol w:w="1984"/>
        <w:gridCol w:w="1843"/>
      </w:tblGrid>
      <w:tr w:rsidR="00892027" w:rsidRPr="00563D7C" w:rsidTr="00656AA6">
        <w:trPr>
          <w:trHeight w:hRule="exact"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92027" w:rsidRPr="00563D7C" w:rsidRDefault="00892027" w:rsidP="00892027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</w:rPr>
            </w:pPr>
            <w:r w:rsidRPr="00563D7C">
              <w:rPr>
                <w:rFonts w:eastAsia="Calibri"/>
                <w:b/>
                <w:bCs/>
                <w:w w:val="105"/>
              </w:rPr>
              <w:t>№</w:t>
            </w:r>
          </w:p>
          <w:p w:rsidR="00892027" w:rsidRPr="00563D7C" w:rsidRDefault="00892027" w:rsidP="00892027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</w:rPr>
            </w:pPr>
            <w:r w:rsidRPr="00563D7C">
              <w:rPr>
                <w:rFonts w:eastAsia="Calibri"/>
                <w:b/>
                <w:bCs/>
                <w:w w:val="105"/>
              </w:rPr>
              <w:t>п.п.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92027" w:rsidRPr="00563D7C" w:rsidRDefault="00892027" w:rsidP="00892027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</w:rPr>
            </w:pPr>
            <w:r w:rsidRPr="00563D7C">
              <w:rPr>
                <w:rFonts w:eastAsia="Calibri"/>
                <w:b/>
                <w:bCs/>
                <w:w w:val="105"/>
              </w:rPr>
              <w:t>Специалист/исcледование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92027" w:rsidRPr="00563D7C" w:rsidRDefault="00892027" w:rsidP="00892027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</w:rPr>
            </w:pPr>
          </w:p>
          <w:p w:rsidR="00892027" w:rsidRPr="00563D7C" w:rsidRDefault="00892027" w:rsidP="00892027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</w:rPr>
            </w:pPr>
            <w:r w:rsidRPr="00563D7C">
              <w:rPr>
                <w:rFonts w:eastAsia="Calibri"/>
                <w:b/>
                <w:bCs/>
                <w:w w:val="105"/>
              </w:rPr>
              <w:t xml:space="preserve">Единица измерения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92027" w:rsidRPr="00563D7C" w:rsidRDefault="00892027" w:rsidP="00892027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/>
                <w:bCs/>
                <w:w w:val="105"/>
              </w:rPr>
            </w:pPr>
            <w:r w:rsidRPr="00563D7C">
              <w:rPr>
                <w:rFonts w:eastAsia="Calibri"/>
                <w:b/>
                <w:bCs/>
                <w:w w:val="105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  <w:r w:rsidRPr="009847D0">
              <w:rPr>
                <w:b/>
                <w:sz w:val="22"/>
                <w:szCs w:val="22"/>
              </w:rPr>
              <w:t>Цена, без учета НДС, руб.</w:t>
            </w:r>
          </w:p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</w:p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  <w:r w:rsidRPr="009847D0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27" w:rsidRPr="009847D0" w:rsidRDefault="00892027" w:rsidP="00892027">
            <w:pPr>
              <w:jc w:val="both"/>
              <w:rPr>
                <w:b/>
                <w:sz w:val="22"/>
                <w:szCs w:val="22"/>
              </w:rPr>
            </w:pPr>
            <w:r w:rsidRPr="009847D0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Заключение врача-профпатолога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Осмотр врачом-терапевтом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Осмотр врачом-акушером-гинекологом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Осмотр врачом-психиатром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Осмотр врачом-наркологом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Осмотр врачом-оториноларингологом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Осмотр врачом-неврологом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Осмотр врачом-офтальмологом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Осмотр врачом-хирургом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Осмотр врачом-дерматовенерологом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Осмотр врачом-стоматологом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Флюорография легких в двух проекциях (прямая и боковая)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Электрокардиография (в покое)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 xml:space="preserve">Общий анализ крови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Исследование уровня глюкозы в крови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Определение уровня общего холестерина</w:t>
            </w:r>
            <w:r w:rsidRPr="00563D7C">
              <w:rPr>
                <w:rFonts w:eastAsia="Calibri"/>
                <w:bCs/>
                <w:w w:val="105"/>
              </w:rPr>
              <w:t xml:space="preserve"> в крови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Клинический анализ мочи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Маммография обеих молочных желез в двух проекциях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Проведение бактериологического (на флору) исследования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Проведение цитологического (на атипичные клетки) исследования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Спирометрия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Электроэнцефалография головного мозга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УЗИ органов малого таза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УЗИ органов брюшной полости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Ретикулоциты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Метгемоглобин в крови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153DD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jc w:val="center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563D7C">
              <w:rPr>
                <w:rFonts w:eastAsia="Calibri"/>
                <w:bCs/>
                <w:color w:val="000000"/>
                <w:w w:val="105"/>
              </w:rPr>
              <w:t>Исследование крови на сифилис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153DDB" w:rsidRPr="00563D7C" w:rsidTr="00387E0D">
        <w:trPr>
          <w:trHeight w:hRule="exact"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387E0D" w:rsidRDefault="00153DDB" w:rsidP="00387E0D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9" w:line="234" w:lineRule="exact"/>
              <w:rPr>
                <w:rFonts w:eastAsia="Calibri"/>
                <w:bCs/>
                <w:w w:val="105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387E0D" w:rsidRDefault="00153DDB" w:rsidP="00387E0D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color w:val="000000"/>
                <w:w w:val="105"/>
              </w:rPr>
            </w:pPr>
            <w:r w:rsidRPr="00387E0D">
              <w:rPr>
                <w:rFonts w:eastAsia="Calibri"/>
                <w:bCs/>
                <w:color w:val="000000"/>
                <w:w w:val="105"/>
              </w:rPr>
              <w:t>Измерение внутриглазного давления при прохождении предварительного/периодического осмотра, выполняется у граждан в возрасте с 40 лет и старше.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  <w:r w:rsidRPr="00563D7C">
              <w:rPr>
                <w:rFonts w:eastAsia="Calibri"/>
                <w:bCs/>
                <w:w w:val="105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DB" w:rsidRPr="00563D7C" w:rsidRDefault="00153DDB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  <w:tr w:rsidR="00D367F2" w:rsidRPr="00563D7C" w:rsidTr="00C07817">
        <w:trPr>
          <w:trHeight w:hRule="exact" w:val="994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67F2" w:rsidRPr="00563D7C" w:rsidRDefault="00D367F2" w:rsidP="00D367F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jc w:val="center"/>
              <w:rPr>
                <w:rFonts w:eastAsia="Calibri"/>
                <w:bCs/>
                <w:w w:val="105"/>
              </w:rPr>
            </w:pPr>
            <w:r w:rsidRPr="008B1771">
              <w:rPr>
                <w:rFonts w:eastAsia="Calibri"/>
                <w:b/>
                <w:bCs/>
                <w:color w:val="000000"/>
                <w:w w:val="105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367F2" w:rsidRPr="00563D7C" w:rsidRDefault="00D367F2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Pr="00563D7C" w:rsidRDefault="00D367F2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Pr="00563D7C" w:rsidRDefault="00D367F2" w:rsidP="00A9377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eastAsia="Calibri"/>
                <w:bCs/>
                <w:w w:val="105"/>
              </w:rPr>
            </w:pPr>
          </w:p>
        </w:tc>
      </w:tr>
    </w:tbl>
    <w:p w:rsidR="00B5564F" w:rsidRDefault="00B5564F" w:rsidP="005C169C">
      <w:pPr>
        <w:tabs>
          <w:tab w:val="left" w:pos="360"/>
        </w:tabs>
        <w:jc w:val="both"/>
      </w:pPr>
    </w:p>
    <w:p w:rsidR="00B5564F" w:rsidRDefault="00B5564F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370948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5057E1" w:rsidRPr="005057E1">
              <w:rPr>
                <w:i/>
              </w:rPr>
              <w:t>с даты заключения договора по 30.12.2025г. с возможностью пролонгации на 1 год, а в части обя</w:t>
            </w:r>
            <w:r w:rsidR="005057E1">
              <w:rPr>
                <w:i/>
              </w:rPr>
              <w:t>зательств до полного исполнения</w:t>
            </w:r>
            <w:r w:rsidR="0029768F" w:rsidRPr="00370948">
              <w:rPr>
                <w:i/>
              </w:rPr>
              <w:t>.</w:t>
            </w:r>
            <w:r w:rsidR="00A42251" w:rsidRPr="00370948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672D28" w:rsidTr="005B3F60">
        <w:tc>
          <w:tcPr>
            <w:tcW w:w="8075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51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5B3F60">
        <w:tc>
          <w:tcPr>
            <w:tcW w:w="8075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</w:t>
            </w:r>
            <w:r w:rsidRPr="00516691">
              <w:rPr>
                <w:rFonts w:eastAsiaTheme="minorHAnsi"/>
                <w:lang w:eastAsia="en-US"/>
              </w:rPr>
              <w:lastRenderedPageBreak/>
              <w:t>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513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5B3F60">
        <w:tc>
          <w:tcPr>
            <w:tcW w:w="8075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от</w:t>
            </w:r>
          </w:p>
        </w:tc>
        <w:tc>
          <w:tcPr>
            <w:tcW w:w="751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5B3F60">
        <w:tc>
          <w:tcPr>
            <w:tcW w:w="8075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513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  <w:tr w:rsidR="0015287B" w:rsidTr="005B3F60">
        <w:tc>
          <w:tcPr>
            <w:tcW w:w="8075" w:type="dxa"/>
          </w:tcPr>
          <w:p w:rsidR="0015287B" w:rsidRDefault="0015287B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15287B">
              <w:rPr>
                <w:rFonts w:eastAsiaTheme="minorHAnsi"/>
                <w:lang w:eastAsia="en-US"/>
              </w:rPr>
              <w:t>В стоимость  медицинских услуг, указанных в п.1, п.2, п.3, п.4 настоящего прейскуранта,  включены: анкетирование, все необходимые исследования и осмотры врачей-специалистов, указанные в п.12, п. п. 12.1, 12.2, 12.3, 12.4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 и в Приложение к Порядку, а также оформление  всех необходимых медицинских документов, за исключением следующих исследований: флюорография или рентгенография легких в двух проекциях, маммография обеих молочных желез в двух проекциях у женщины, рентгенография длинных трубчатых костей и электроэнцефалография.</w:t>
            </w:r>
          </w:p>
        </w:tc>
        <w:tc>
          <w:tcPr>
            <w:tcW w:w="7513" w:type="dxa"/>
          </w:tcPr>
          <w:p w:rsidR="0015287B" w:rsidRDefault="0015287B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15287B" w:rsidRDefault="0015287B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15287B" w:rsidRDefault="0015287B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B3F60" w:rsidTr="005B3F60">
        <w:tc>
          <w:tcPr>
            <w:tcW w:w="8075" w:type="dxa"/>
          </w:tcPr>
          <w:p w:rsidR="005B3F60" w:rsidRPr="00563D7C" w:rsidRDefault="005B3F60" w:rsidP="005B3F60">
            <w:pPr>
              <w:ind w:firstLine="567"/>
              <w:jc w:val="both"/>
            </w:pPr>
            <w:r w:rsidRPr="00563D7C">
              <w:t>Исполнитель должен иметь все необходимые разрешительные документы на деятельность, связанную с оказанием медицинских услуг по проведению предварительных и периодических медицинских осмотров работников – Лицензию на осуществление деятельности по медицинским осмотрам (предварительным, периодическим).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t>Наличие у Исполнителя постоянно действующей врачебной комиссии для проведения предварительного или периодического осмотра.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t xml:space="preserve">Наличие в штате не менее одного врача-профпатолога; 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t>Наличие врачей-специалистов, прошедших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«профпатология»;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t>Наличие и использование современного диагностирующего оборудования при оказании услуг.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lastRenderedPageBreak/>
              <w:t xml:space="preserve">Наличие собственного аппарата для проведения флюорографии или наличие договора на оказание данного вида обследования. 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t xml:space="preserve">        Исполнитель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 факты своей хозяйственной деятельности, декларирует все свои налоговые обязательства по сделкам, совершаемым от его имени и уплачивает налоги в соответствии с реально осуществляемыми операциями, представляет информацию и документы по запросам налоговых органов, его должностные 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сотрудников, материально-техническую базу, разрешения и лицензии и обязуется надлежащим образом исполнять вышеуказанные обязанности.</w:t>
            </w:r>
          </w:p>
          <w:p w:rsidR="005B3F60" w:rsidRPr="00563D7C" w:rsidRDefault="005B3F60" w:rsidP="005B3F60">
            <w:pPr>
              <w:ind w:firstLine="567"/>
              <w:jc w:val="both"/>
            </w:pPr>
            <w:r w:rsidRPr="00563D7C">
              <w:t>Исполнитель гарантирует, что он проявляет должную осмотрительность и осторожность при выборе своих контрагентов, исходя из условий и обстоятельств совершаемых сделок, 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      </w:r>
          </w:p>
          <w:p w:rsidR="005B3F60" w:rsidRPr="00563D7C" w:rsidRDefault="005B3F60" w:rsidP="005B3F60">
            <w:pPr>
              <w:tabs>
                <w:tab w:val="num" w:pos="709"/>
              </w:tabs>
              <w:ind w:firstLine="567"/>
              <w:jc w:val="both"/>
            </w:pPr>
            <w:r w:rsidRPr="00563D7C">
              <w:t>Если по вине Исполнителя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Исполнитель обязуется возместить Заказчику все соответствующие убытки в размере доначисленных или не возвращенных из бюджета РФ налогов, а также все суммы пеней и штрафов, которые налоговые органы в этой связи удержали с Заказчика. Под виной Исполнителя понимается любая ситуация, когда налоговый орган прямо или косвенно признает Исполнителя и /или его контрагентов недобросовестным налогоплательщиком.</w:t>
            </w:r>
          </w:p>
        </w:tc>
        <w:tc>
          <w:tcPr>
            <w:tcW w:w="7513" w:type="dxa"/>
          </w:tcPr>
          <w:p w:rsidR="005B3F60" w:rsidRDefault="005B3F60" w:rsidP="005B3F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5B3F60" w:rsidRDefault="005B3F60" w:rsidP="005B3F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5B3F60" w:rsidRDefault="005B3F60" w:rsidP="005B3F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5B3F60" w:rsidRDefault="005B3F60" w:rsidP="005B3F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8D3" w:rsidRDefault="004D78D3">
      <w:r>
        <w:separator/>
      </w:r>
    </w:p>
  </w:endnote>
  <w:endnote w:type="continuationSeparator" w:id="0">
    <w:p w:rsidR="004D78D3" w:rsidRDefault="004D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4D78D3" w:rsidP="0078486B">
    <w:pPr>
      <w:pStyle w:val="a4"/>
      <w:ind w:right="360"/>
    </w:pPr>
  </w:p>
  <w:p w:rsidR="000C081F" w:rsidRDefault="004D78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8D3" w:rsidRDefault="004D78D3">
      <w:r>
        <w:separator/>
      </w:r>
    </w:p>
  </w:footnote>
  <w:footnote w:type="continuationSeparator" w:id="0">
    <w:p w:rsidR="004D78D3" w:rsidRDefault="004D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A58B2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"/>
  </w:num>
  <w:num w:numId="5">
    <w:abstractNumId w:val="17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15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287B"/>
    <w:rsid w:val="00153DD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454DE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87E0D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D78D3"/>
    <w:rsid w:val="004E43BB"/>
    <w:rsid w:val="004E67EB"/>
    <w:rsid w:val="004E6882"/>
    <w:rsid w:val="004F49B6"/>
    <w:rsid w:val="004F5E9F"/>
    <w:rsid w:val="00501C7F"/>
    <w:rsid w:val="005024A5"/>
    <w:rsid w:val="00502868"/>
    <w:rsid w:val="005057E1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145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3F60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19F7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2E2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027"/>
    <w:rsid w:val="00892DCB"/>
    <w:rsid w:val="0089500A"/>
    <w:rsid w:val="0089542F"/>
    <w:rsid w:val="00896387"/>
    <w:rsid w:val="008A4945"/>
    <w:rsid w:val="008B137C"/>
    <w:rsid w:val="008B1771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47D0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C534B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48E4"/>
    <w:rsid w:val="00B15492"/>
    <w:rsid w:val="00B15573"/>
    <w:rsid w:val="00B155FE"/>
    <w:rsid w:val="00B23C1C"/>
    <w:rsid w:val="00B25D48"/>
    <w:rsid w:val="00B25EE1"/>
    <w:rsid w:val="00B276C6"/>
    <w:rsid w:val="00B277A3"/>
    <w:rsid w:val="00B33497"/>
    <w:rsid w:val="00B4016F"/>
    <w:rsid w:val="00B41803"/>
    <w:rsid w:val="00B4211F"/>
    <w:rsid w:val="00B42501"/>
    <w:rsid w:val="00B44A2B"/>
    <w:rsid w:val="00B45997"/>
    <w:rsid w:val="00B53F96"/>
    <w:rsid w:val="00B5564F"/>
    <w:rsid w:val="00B556AF"/>
    <w:rsid w:val="00B5666E"/>
    <w:rsid w:val="00B57A8E"/>
    <w:rsid w:val="00B60A1F"/>
    <w:rsid w:val="00B63284"/>
    <w:rsid w:val="00B66C41"/>
    <w:rsid w:val="00B66FE9"/>
    <w:rsid w:val="00B701A7"/>
    <w:rsid w:val="00B7276A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B5037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495A"/>
    <w:rsid w:val="00D25577"/>
    <w:rsid w:val="00D277B9"/>
    <w:rsid w:val="00D27C8A"/>
    <w:rsid w:val="00D30B23"/>
    <w:rsid w:val="00D31F68"/>
    <w:rsid w:val="00D367F2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613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530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6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153DDB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6AF4187-B0CF-4569-976E-6267A4F6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25</cp:revision>
  <cp:lastPrinted>2025-01-23T08:53:00Z</cp:lastPrinted>
  <dcterms:created xsi:type="dcterms:W3CDTF">2025-02-26T06:12:00Z</dcterms:created>
  <dcterms:modified xsi:type="dcterms:W3CDTF">2025-02-26T07:06:00Z</dcterms:modified>
</cp:coreProperties>
</file>